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2F5" w:rsidRPr="009402F5" w:rsidRDefault="009402F5" w:rsidP="009402F5">
      <w:pPr>
        <w:spacing w:before="360" w:after="360" w:line="312" w:lineRule="atLeast"/>
        <w:outlineLvl w:val="1"/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b/>
          <w:bCs/>
          <w:color w:val="7ECC10"/>
          <w:sz w:val="24"/>
          <w:lang w:eastAsia="it-IT"/>
        </w:rPr>
        <w:t xml:space="preserve">Bonus ristrutturazioni </w:t>
      </w:r>
    </w:p>
    <w:p w:rsidR="009402F5" w:rsidRPr="009402F5" w:rsidRDefault="009402F5" w:rsidP="009402F5">
      <w:pPr>
        <w:spacing w:after="324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La 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detrazione fiscale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per le ristrutturazioni, come già accennato, viene concessa nella misura 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del 50%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 in caso di:</w:t>
      </w:r>
    </w:p>
    <w:p w:rsidR="009402F5" w:rsidRPr="009402F5" w:rsidRDefault="009402F5" w:rsidP="009402F5">
      <w:pPr>
        <w:numPr>
          <w:ilvl w:val="0"/>
          <w:numId w:val="1"/>
        </w:numPr>
        <w:spacing w:after="324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manutenzione ordinaria 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all'interno della quale ricadono "gli interventi edilizi che riguardano le opere di riparazione, rinnovamento e sostituzione delle finiture degli edifici o necessari ad integrare/mantenere in efficienza gli impianti tecnologici esistenti". A titolo esemplificativo la tinteggiatura della facciata condominiale, la sostituzione della pavimentazione e/o della ringhiera del lastrico solare etc.</w:t>
      </w:r>
    </w:p>
    <w:p w:rsidR="009402F5" w:rsidRPr="009402F5" w:rsidRDefault="009402F5" w:rsidP="009402F5">
      <w:pPr>
        <w:spacing w:after="324" w:line="252" w:lineRule="atLeast"/>
        <w:jc w:val="center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9402F5">
        <w:rPr>
          <w:rFonts w:ascii="Verdana" w:eastAsia="Times New Roman" w:hAnsi="Verdana" w:cs="Times New Roman"/>
          <w:i/>
          <w:iCs/>
          <w:color w:val="545353"/>
          <w:sz w:val="18"/>
          <w:lang w:eastAsia="it-IT"/>
        </w:rPr>
        <w:t xml:space="preserve">ATTENZIONE: gli interventi in manutenzione ordinaria sono detraibili </w:t>
      </w:r>
      <w:r w:rsidRPr="009402F5">
        <w:rPr>
          <w:rFonts w:ascii="Verdana" w:eastAsia="Times New Roman" w:hAnsi="Verdana" w:cs="Times New Roman"/>
          <w:b/>
          <w:bCs/>
          <w:i/>
          <w:iCs/>
          <w:color w:val="545353"/>
          <w:sz w:val="18"/>
          <w:lang w:eastAsia="it-IT"/>
        </w:rPr>
        <w:t>solo</w:t>
      </w:r>
      <w:r w:rsidRPr="009402F5">
        <w:rPr>
          <w:rFonts w:ascii="Verdana" w:eastAsia="Times New Roman" w:hAnsi="Verdana" w:cs="Times New Roman"/>
          <w:i/>
          <w:iCs/>
          <w:color w:val="545353"/>
          <w:sz w:val="18"/>
          <w:lang w:eastAsia="it-IT"/>
        </w:rPr>
        <w:t xml:space="preserve"> quando le opere riguardano </w:t>
      </w:r>
      <w:r w:rsidRPr="009402F5">
        <w:rPr>
          <w:rFonts w:ascii="Verdana" w:eastAsia="Times New Roman" w:hAnsi="Verdana" w:cs="Times New Roman"/>
          <w:b/>
          <w:bCs/>
          <w:i/>
          <w:iCs/>
          <w:color w:val="545353"/>
          <w:sz w:val="18"/>
          <w:lang w:eastAsia="it-IT"/>
        </w:rPr>
        <w:t>parti comuni (condominiali)</w:t>
      </w:r>
      <w:r w:rsidRPr="009402F5">
        <w:rPr>
          <w:rFonts w:ascii="Verdana" w:eastAsia="Times New Roman" w:hAnsi="Verdana" w:cs="Times New Roman"/>
          <w:i/>
          <w:iCs/>
          <w:color w:val="545353"/>
          <w:sz w:val="18"/>
          <w:lang w:eastAsia="it-IT"/>
        </w:rPr>
        <w:t>. La detrazione spetta ad ogni condomino in base alla quota millesimale.</w:t>
      </w:r>
    </w:p>
    <w:p w:rsidR="009402F5" w:rsidRPr="009402F5" w:rsidRDefault="009402F5" w:rsidP="009402F5">
      <w:pPr>
        <w:spacing w:after="324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Vediamo ora gli interventi che riguardano le 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parti esclusive e private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. Per essere detratti gli interventi devono ricadere in manutenzione straordinaria oppure devono prevedere l'abbattimento delle barriere architettoniche (opere per disabili):</w:t>
      </w:r>
    </w:p>
    <w:p w:rsidR="009402F5" w:rsidRPr="009402F5" w:rsidRDefault="009402F5" w:rsidP="009402F5">
      <w:pPr>
        <w:numPr>
          <w:ilvl w:val="0"/>
          <w:numId w:val="2"/>
        </w:numPr>
        <w:spacing w:after="324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manutenzione straordinaria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 (opere e modifiche necessarie per rinnovare e sostituire parti anche strutturali degli edifici e per realizzare ed integrare i servizi igienico/sanitari) 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e superiori.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 Ad esempio, opere come: 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spostamento di tramezzi</w:t>
      </w:r>
      <w:hyperlink r:id="rId5" w:tgtFrame="_blank" w:history="1">
        <w:r w:rsidRPr="009402F5">
          <w:rPr>
            <w:rFonts w:ascii="Verdana" w:eastAsia="Times New Roman" w:hAnsi="Verdana" w:cs="Times New Roman"/>
            <w:color w:val="0000FF"/>
            <w:sz w:val="18"/>
            <w:u w:val="single"/>
            <w:lang w:eastAsia="it-IT"/>
          </w:rPr>
          <w:t xml:space="preserve"> </w:t>
        </w:r>
      </w:hyperlink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e divisori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 non portanti, apertura, chiusura o spostamento di porte e infissi, rifacimento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impianto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 fognario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privato,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 realizzazione piscina esterna, 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rifacimento degli 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impianti elettrico, idrico - bagno- gas cucina, di riscaldamento, di condizionamento / climatizzazione, antintrusione (telecamere e videosorveglianza) ,</w:t>
      </w:r>
      <w:r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fotovoltaico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,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 realizzazione</w:t>
      </w: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 ascensore, frazionamento, accorpamento, cambio di destinazione d'uso, cerchiature muri, rifacimento solaio o tetto, </w:t>
      </w:r>
      <w:proofErr w:type="spellStart"/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aprertura</w:t>
      </w:r>
      <w:proofErr w:type="spellEnd"/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 finestra, rimozione amianto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etc. </w:t>
      </w:r>
    </w:p>
    <w:p w:rsidR="009402F5" w:rsidRPr="009402F5" w:rsidRDefault="009402F5" w:rsidP="009402F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9402F5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.</w:t>
      </w:r>
    </w:p>
    <w:p w:rsidR="009402F5" w:rsidRPr="009402F5" w:rsidRDefault="009402F5" w:rsidP="009402F5">
      <w:pPr>
        <w:numPr>
          <w:ilvl w:val="0"/>
          <w:numId w:val="3"/>
        </w:numPr>
        <w:spacing w:after="324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9402F5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abbattimento barriere architettoniche: </w:t>
      </w:r>
      <w:r w:rsidRPr="009402F5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opere volte al miglioramento dei movimenti da parte di persone con difficoltà a deambulare: ad esempio l'installazione di</w:t>
      </w:r>
      <w:r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 montascale o rampe </w:t>
      </w:r>
    </w:p>
    <w:p w:rsidR="0070086C" w:rsidRDefault="0070086C"/>
    <w:p w:rsidR="0070086C" w:rsidRDefault="0070086C" w:rsidP="0070086C"/>
    <w:p w:rsidR="0070086C" w:rsidRDefault="0070086C" w:rsidP="0070086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Indirizzo ENEA per comunicazione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Ecobonus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65 e bonus casa 50</w:t>
      </w:r>
    </w:p>
    <w:p w:rsidR="0070086C" w:rsidRDefault="0070086C" w:rsidP="0070086C">
      <w:hyperlink r:id="rId6" w:history="1">
        <w:r w:rsidRPr="0037269F">
          <w:rPr>
            <w:rStyle w:val="Collegamentoipertestuale"/>
          </w:rPr>
          <w:t>https://www.efficienzaenergetica.enea.it/detrazioni-fiscali.html</w:t>
        </w:r>
      </w:hyperlink>
      <w:r w:rsidRPr="0037269F">
        <w:t>),</w:t>
      </w:r>
    </w:p>
    <w:p w:rsidR="00F36E3A" w:rsidRPr="0070086C" w:rsidRDefault="00F36E3A" w:rsidP="0070086C"/>
    <w:sectPr w:rsidR="00F36E3A" w:rsidRPr="0070086C" w:rsidSect="00F36E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5D8"/>
    <w:multiLevelType w:val="multilevel"/>
    <w:tmpl w:val="6600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C86C52"/>
    <w:multiLevelType w:val="multilevel"/>
    <w:tmpl w:val="B49E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696E5A"/>
    <w:multiLevelType w:val="multilevel"/>
    <w:tmpl w:val="76B09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402F5"/>
    <w:rsid w:val="0070086C"/>
    <w:rsid w:val="007B5B60"/>
    <w:rsid w:val="009402F5"/>
    <w:rsid w:val="00F3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6E3A"/>
  </w:style>
  <w:style w:type="paragraph" w:styleId="Titolo2">
    <w:name w:val="heading 2"/>
    <w:basedOn w:val="Normale"/>
    <w:link w:val="Titolo2Carattere"/>
    <w:uiPriority w:val="9"/>
    <w:qFormat/>
    <w:rsid w:val="00940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402F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40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402F5"/>
    <w:rPr>
      <w:b/>
      <w:bCs/>
    </w:rPr>
  </w:style>
  <w:style w:type="character" w:styleId="Enfasicorsivo">
    <w:name w:val="Emphasis"/>
    <w:basedOn w:val="Carpredefinitoparagrafo"/>
    <w:uiPriority w:val="20"/>
    <w:qFormat/>
    <w:rsid w:val="009402F5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9402F5"/>
    <w:rPr>
      <w:color w:val="0000FF"/>
      <w:u w:val="single"/>
    </w:rPr>
  </w:style>
  <w:style w:type="paragraph" w:customStyle="1" w:styleId="alert-success">
    <w:name w:val="alert-success"/>
    <w:basedOn w:val="Normale"/>
    <w:rsid w:val="00940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fficienzaenergetica.enea.it/detrazioni-fiscali.html" TargetMode="External"/><Relationship Id="rId5" Type="http://schemas.openxmlformats.org/officeDocument/2006/relationships/hyperlink" Target="https://www.studiomadera.it/news/102-tramezzo-demolizio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Giancarlo Belloni</dc:creator>
  <cp:lastModifiedBy>Giancarlo Belloni</cp:lastModifiedBy>
  <cp:revision>2</cp:revision>
  <dcterms:created xsi:type="dcterms:W3CDTF">2020-08-22T17:09:00Z</dcterms:created>
  <dcterms:modified xsi:type="dcterms:W3CDTF">2020-08-22T18:07:00Z</dcterms:modified>
</cp:coreProperties>
</file>